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青霉素-链霉素双抗 溶液(100×)说明书</w:t>
      </w:r>
    </w:p>
    <w:p>
      <w:pPr>
        <w:spacing w:beforeLines="0" w:after="75" w:afterLines="0" w:line="360" w:lineRule="auto"/>
        <w:ind w:right="225"/>
        <w:jc w:val="left"/>
        <w:rPr>
          <w:rFonts w:hint="eastAsia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RC20016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青霉素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链霉素溶液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(100×) (Penicillin-Streptomycin Solution, 100×)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是专门用于细胞培养的双抗，经过过滤除菌，可以直接添加到细胞培养液内。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青霉素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链霉素溶液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(100×)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中，青霉素的含量为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 10KU/ml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，链霉素的含量为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10mg/ml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。该溶液用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0.85%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氯化钠配制。在细胞培养液中推荐的青霉素的工作浓度为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100U/ml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，链霉素的工作浓度为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0.1mg/ml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，即按照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100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倍稀释使用即可。一个包装即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100ml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青霉素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链霉素溶液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(100×)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可以配制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10L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细胞培养液。</w:t>
      </w:r>
    </w:p>
    <w:p>
      <w:pPr>
        <w:pStyle w:val="3"/>
        <w:spacing w:line="391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8"/>
        <w:tblpPr w:leftFromText="180" w:rightFromText="180" w:vertAnchor="text" w:horzAnchor="page" w:tblpX="1896" w:tblpY="1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1497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647" w:type="dxa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2952750" cy="395605"/>
                      <wp:effectExtent l="635" t="4445" r="1841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4570" y="5426710"/>
                                <a:ext cx="2952750" cy="3956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0.75pt;height:31.15pt;width:232.5pt;z-index:251659264;mso-width-relative:page;mso-height-relative:page;" filled="f" stroked="t" coordsize="21600,21600" o:gfxdata="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zzSh9YAAAAHAQAADwAAAAAAAAABACAAAAAiAAAAZHJzL2Rvd25yZXYueG1sUEsBAhQA&#10;FAAAAAgAh07iQKrW9ir0AQAAwgMAAA4AAAAAAAAAAQAgAAAAJQEAAGRycy9lMm9Eb2MueG1sUEsF&#10;BgAAAAAGAAYAWQEAAIs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                   编号</w:t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名称</w:t>
            </w:r>
          </w:p>
        </w:tc>
        <w:tc>
          <w:tcPr>
            <w:tcW w:w="1497" w:type="dxa"/>
          </w:tcPr>
          <w:p>
            <w:pPr>
              <w:spacing w:beforeLines="0" w:after="75" w:afterLines="0" w:line="360" w:lineRule="auto"/>
              <w:ind w:right="225"/>
              <w:jc w:val="left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RC20016</w:t>
            </w:r>
            <w:bookmarkEnd w:id="0"/>
          </w:p>
        </w:tc>
        <w:tc>
          <w:tcPr>
            <w:tcW w:w="211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青霉素-链霉素双抗 溶液(100×)</w:t>
            </w:r>
          </w:p>
        </w:tc>
        <w:tc>
          <w:tcPr>
            <w:tcW w:w="1497" w:type="dxa"/>
          </w:tcPr>
          <w:p>
            <w:pPr>
              <w:ind w:firstLine="240" w:firstLineChars="100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100ml</w:t>
            </w:r>
          </w:p>
        </w:tc>
        <w:tc>
          <w:tcPr>
            <w:tcW w:w="2113" w:type="dxa"/>
          </w:tcPr>
          <w:p>
            <w:pPr>
              <w:ind w:firstLine="720" w:firstLineChars="300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-20℃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3610" w:type="dxa"/>
            <w:gridSpan w:val="2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一份</w:t>
            </w:r>
          </w:p>
        </w:tc>
      </w:tr>
    </w:tbl>
    <w:p>
      <w:pPr>
        <w:numPr>
          <w:ilvl w:val="0"/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操作步骤</w:t>
      </w:r>
      <w:r>
        <w:rPr>
          <w:rFonts w:ascii="宋体" w:hAnsi="宋体" w:eastAsia="宋体" w:cs="宋体"/>
          <w:sz w:val="24"/>
          <w:szCs w:val="24"/>
        </w:rPr>
        <w:t>(仅供参考)：</w:t>
      </w:r>
    </w:p>
    <w:p>
      <w:pPr>
        <w:numPr>
          <w:ilvl w:val="0"/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en-US" w:eastAsia="zh-CN"/>
        </w:rPr>
        <w:t>青霉素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-链霉素混合溶液(100×双抗)可以参考如下两种方法之一使用：</w:t>
      </w:r>
    </w:p>
    <w:p>
      <w:pPr>
        <w:numPr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在无菌的细胞培养液中直接添加青霉素-链霉素溶液(100×双抗)：按照每500ml细胞培养液添加5ml的比例加入青霉素-链霉素溶液(100×双抗)，混匀即可使用。</w:t>
      </w:r>
    </w:p>
    <w:p>
      <w:pPr>
        <w:numPr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配制细胞培养液时加入青霉素-链霉素溶液(100×双抗)，然后再过滤除菌：配制细胞培养液时按照每配制1L细胞培养液加入10ml的比例加入青霉素-链霉素溶液(100×双抗)，配制完成后过滤除菌即可使用.</w:t>
      </w:r>
    </w:p>
    <w:p>
      <w:pPr>
        <w:numPr>
          <w:ilvl w:val="0"/>
          <w:numId w:val="0"/>
        </w:numPr>
        <w:ind w:leftChars="0" w:right="0" w:righ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1.尽量减少反复冻融的次数，以免效率下降。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2.注意无菌操作，尽量避免污染。</w:t>
      </w:r>
    </w:p>
    <w:p>
      <w:pPr>
        <w:numPr>
          <w:ilvl w:val="0"/>
          <w:numId w:val="0"/>
        </w:numPr>
        <w:ind w:leftChars="0" w:right="0" w:righ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有效期：</w:t>
      </w:r>
      <w:r>
        <w:rPr>
          <w:rFonts w:ascii="宋体" w:hAnsi="宋体" w:eastAsia="宋体" w:cs="宋体"/>
          <w:sz w:val="24"/>
          <w:szCs w:val="24"/>
        </w:rPr>
        <w:t xml:space="preserve"> 12 个月有效。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-176530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968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5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10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5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2B3"/>
    <w:rsid w:val="02667C82"/>
    <w:rsid w:val="03280E4A"/>
    <w:rsid w:val="0424500B"/>
    <w:rsid w:val="047F6784"/>
    <w:rsid w:val="05423E6B"/>
    <w:rsid w:val="06443F8F"/>
    <w:rsid w:val="077B5559"/>
    <w:rsid w:val="09C16958"/>
    <w:rsid w:val="0B5C0142"/>
    <w:rsid w:val="0BF72175"/>
    <w:rsid w:val="0D851AD1"/>
    <w:rsid w:val="10154A75"/>
    <w:rsid w:val="10782F98"/>
    <w:rsid w:val="10D75FDB"/>
    <w:rsid w:val="10DB351F"/>
    <w:rsid w:val="12DD4EA3"/>
    <w:rsid w:val="17006472"/>
    <w:rsid w:val="180C69F2"/>
    <w:rsid w:val="19A24F27"/>
    <w:rsid w:val="1A261945"/>
    <w:rsid w:val="1E304318"/>
    <w:rsid w:val="1EBE7523"/>
    <w:rsid w:val="21451277"/>
    <w:rsid w:val="23CB5A90"/>
    <w:rsid w:val="24D5514D"/>
    <w:rsid w:val="254814BB"/>
    <w:rsid w:val="25843A46"/>
    <w:rsid w:val="262E5EB0"/>
    <w:rsid w:val="26C10671"/>
    <w:rsid w:val="27375FC7"/>
    <w:rsid w:val="28CF3C4A"/>
    <w:rsid w:val="29CF57EF"/>
    <w:rsid w:val="29EA37DB"/>
    <w:rsid w:val="2BF41B2D"/>
    <w:rsid w:val="2E781D58"/>
    <w:rsid w:val="2EA40681"/>
    <w:rsid w:val="2F3A3FCC"/>
    <w:rsid w:val="30D079ED"/>
    <w:rsid w:val="30E37952"/>
    <w:rsid w:val="30F657C8"/>
    <w:rsid w:val="31394A7A"/>
    <w:rsid w:val="316977D6"/>
    <w:rsid w:val="31BC3C80"/>
    <w:rsid w:val="32866F27"/>
    <w:rsid w:val="341D3309"/>
    <w:rsid w:val="360458D6"/>
    <w:rsid w:val="38B973A5"/>
    <w:rsid w:val="391D1527"/>
    <w:rsid w:val="39E16D4D"/>
    <w:rsid w:val="3B990213"/>
    <w:rsid w:val="3D626A4F"/>
    <w:rsid w:val="3E19774E"/>
    <w:rsid w:val="3FA153B8"/>
    <w:rsid w:val="4209329F"/>
    <w:rsid w:val="422246BE"/>
    <w:rsid w:val="42575A85"/>
    <w:rsid w:val="425E3375"/>
    <w:rsid w:val="42C152CC"/>
    <w:rsid w:val="45DF4BB6"/>
    <w:rsid w:val="46961769"/>
    <w:rsid w:val="477B0175"/>
    <w:rsid w:val="47F43359"/>
    <w:rsid w:val="484B3FBA"/>
    <w:rsid w:val="488862BB"/>
    <w:rsid w:val="494C26AA"/>
    <w:rsid w:val="4BC10484"/>
    <w:rsid w:val="4C3450A1"/>
    <w:rsid w:val="5194258A"/>
    <w:rsid w:val="52FD4FFB"/>
    <w:rsid w:val="551F55CE"/>
    <w:rsid w:val="561A7789"/>
    <w:rsid w:val="565C4610"/>
    <w:rsid w:val="56F87FA8"/>
    <w:rsid w:val="578C4C26"/>
    <w:rsid w:val="591671FE"/>
    <w:rsid w:val="59AC6052"/>
    <w:rsid w:val="5CC809CF"/>
    <w:rsid w:val="5DAE1FC7"/>
    <w:rsid w:val="60336014"/>
    <w:rsid w:val="60427CA5"/>
    <w:rsid w:val="60860DE8"/>
    <w:rsid w:val="621250F2"/>
    <w:rsid w:val="62491C2A"/>
    <w:rsid w:val="666B1ACF"/>
    <w:rsid w:val="67EF5EC2"/>
    <w:rsid w:val="680769BC"/>
    <w:rsid w:val="69566324"/>
    <w:rsid w:val="6A9A54E1"/>
    <w:rsid w:val="6C153E04"/>
    <w:rsid w:val="6DCA5D9A"/>
    <w:rsid w:val="71601BDC"/>
    <w:rsid w:val="719E0BD3"/>
    <w:rsid w:val="71D80892"/>
    <w:rsid w:val="7277575C"/>
    <w:rsid w:val="732660EB"/>
    <w:rsid w:val="7368775B"/>
    <w:rsid w:val="73DE718D"/>
    <w:rsid w:val="745C203E"/>
    <w:rsid w:val="7477764A"/>
    <w:rsid w:val="749F36F9"/>
    <w:rsid w:val="74CD662A"/>
    <w:rsid w:val="75B81165"/>
    <w:rsid w:val="75FE1AF4"/>
    <w:rsid w:val="768B4E30"/>
    <w:rsid w:val="775A090F"/>
    <w:rsid w:val="780A52E6"/>
    <w:rsid w:val="7861139C"/>
    <w:rsid w:val="790F707F"/>
    <w:rsid w:val="7968212C"/>
    <w:rsid w:val="7A41611C"/>
    <w:rsid w:val="7CFD4FB5"/>
    <w:rsid w:val="7EC31537"/>
    <w:rsid w:val="7F1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op_dict3_font24"/>
    <w:basedOn w:val="9"/>
    <w:unhideWhenUsed/>
    <w:qFormat/>
    <w:uiPriority w:val="0"/>
    <w:rPr>
      <w:rFonts w:hint="default" w:ascii="Times New Roman"/>
      <w:sz w:val="24"/>
    </w:rPr>
  </w:style>
  <w:style w:type="paragraph" w:customStyle="1" w:styleId="12">
    <w:name w:val="Table Paragraph"/>
    <w:basedOn w:val="1"/>
    <w:qFormat/>
    <w:uiPriority w:val="1"/>
    <w:pPr>
      <w:spacing w:before="75"/>
      <w:ind w:left="156"/>
      <w:jc w:val="center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联硕生物郭雪</cp:lastModifiedBy>
  <cp:lastPrinted>2019-01-07T08:40:00Z</cp:lastPrinted>
  <dcterms:modified xsi:type="dcterms:W3CDTF">2021-08-18T05:54:40Z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455F1FC04EF149188B45687F8C7E28AC</vt:lpwstr>
  </property>
</Properties>
</file>